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F8B" w:rsidRPr="008D2F57" w:rsidRDefault="00113F8B" w:rsidP="008D2F57">
      <w:pPr>
        <w:spacing w:after="0" w:line="240" w:lineRule="auto"/>
        <w:jc w:val="both"/>
        <w:rPr>
          <w:rFonts w:ascii="Times New Roman" w:eastAsia="TimesNewRoman" w:hAnsi="Times New Roman" w:cs="Times New Roman"/>
          <w:b/>
          <w:sz w:val="28"/>
          <w:szCs w:val="28"/>
        </w:rPr>
      </w:pPr>
      <w:r w:rsidRPr="008D2F57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Рисунок 1. </w:t>
      </w:r>
      <w:r w:rsidRPr="008D2F57">
        <w:rPr>
          <w:rFonts w:ascii="Times New Roman" w:eastAsia="TimesNewRoman" w:hAnsi="Times New Roman" w:cs="Times New Roman"/>
          <w:b/>
          <w:sz w:val="28"/>
          <w:szCs w:val="28"/>
        </w:rPr>
        <w:t>Динамика показателя объема эякулята (мл) при оценке результатов спермограммы в группах больных к окончанию лечения.</w:t>
      </w:r>
    </w:p>
    <w:p w:rsidR="00D65830" w:rsidRPr="001A22DD" w:rsidRDefault="001A22DD" w:rsidP="001A22DD">
      <w:pPr>
        <w:spacing w:after="0" w:line="240" w:lineRule="auto"/>
        <w:jc w:val="both"/>
        <w:rPr>
          <w:rFonts w:ascii="Times New Roman" w:eastAsia="TimesNewRoman" w:hAnsi="Times New Roman" w:cs="Times New Roman"/>
          <w:b/>
          <w:sz w:val="28"/>
          <w:szCs w:val="28"/>
        </w:rPr>
      </w:pPr>
      <w:r w:rsidRPr="001A22DD">
        <w:rPr>
          <w:rFonts w:ascii="Times New Roman" w:eastAsia="TimesNewRoman" w:hAnsi="Times New Roman" w:cs="Times New Roman"/>
          <w:b/>
          <w:sz w:val="28"/>
          <w:szCs w:val="28"/>
        </w:rPr>
        <w:t>Примечание: 1-я группа больных получала окисленный декстран ректально по схеме 1 раз в сутки в течение 10 дней, далее 20 дней через день; 2-я группа (группа сравнения) получала аналогичным образом плацебо в форме ректальных свечей, состоящих из масла какао.</w:t>
      </w:r>
    </w:p>
    <w:p w:rsidR="00267B00" w:rsidRPr="008D2F57" w:rsidRDefault="00267B00" w:rsidP="008D2F57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val="en-US"/>
        </w:rPr>
      </w:pPr>
      <w:r w:rsidRPr="008D2F57">
        <w:rPr>
          <w:rFonts w:ascii="Times New Roman" w:eastAsia="TimesNewRoman" w:hAnsi="Times New Roman" w:cs="Times New Roman"/>
          <w:sz w:val="28"/>
          <w:szCs w:val="28"/>
          <w:lang w:val="en-US"/>
        </w:rPr>
        <w:t>Figure 1. Dynamics of the ejaculate volume index (ml) when evaluating the results of a spermogram in groups of patients at the end of treatment.</w:t>
      </w:r>
    </w:p>
    <w:p w:rsidR="00267B00" w:rsidRPr="008D2F57" w:rsidRDefault="001A22DD" w:rsidP="008D2F57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  <w:lang w:val="en-US"/>
        </w:rPr>
      </w:pPr>
      <w:r w:rsidRPr="001A22DD">
        <w:rPr>
          <w:rFonts w:ascii="Times New Roman" w:eastAsia="TimesNewRoman" w:hAnsi="Times New Roman" w:cs="Times New Roman"/>
          <w:sz w:val="28"/>
          <w:szCs w:val="28"/>
          <w:lang w:val="en-US"/>
        </w:rPr>
        <w:t>Note: The 1st group of patients received oxidized dextran rectally according to the scheme 1 time per day for 10 days, then every other day for 20 days; the 2nd group (comparison group) similarly received a placebo in the form of rectal suppositories consisting of cocoa butter.</w:t>
      </w:r>
      <w:r w:rsidR="00267B00" w:rsidRPr="008D2F57">
        <w:rPr>
          <w:rFonts w:ascii="Times New Roman" w:eastAsia="TimesNewRoman" w:hAnsi="Times New Roman" w:cs="Times New Roman"/>
          <w:sz w:val="28"/>
          <w:szCs w:val="28"/>
          <w:lang w:val="en-US"/>
        </w:rPr>
        <w:t xml:space="preserve"> </w:t>
      </w:r>
    </w:p>
    <w:p w:rsidR="00113F8B" w:rsidRPr="008D2F57" w:rsidRDefault="00113F8B" w:rsidP="008D2F57">
      <w:pPr>
        <w:pStyle w:val="Standard"/>
        <w:jc w:val="both"/>
        <w:rPr>
          <w:rFonts w:eastAsia="TimesNewRoman" w:cs="Times New Roman"/>
          <w:b/>
          <w:sz w:val="28"/>
          <w:szCs w:val="28"/>
          <w:lang w:val="ru-RU"/>
        </w:rPr>
      </w:pPr>
      <w:r w:rsidRPr="008D2F57">
        <w:rPr>
          <w:rFonts w:eastAsia="TimesNewRoman" w:cs="Times New Roman"/>
          <w:b/>
          <w:bCs/>
          <w:sz w:val="28"/>
          <w:szCs w:val="28"/>
          <w:lang w:val="ru-RU"/>
        </w:rPr>
        <w:t xml:space="preserve">Рисунок 2. </w:t>
      </w:r>
      <w:r w:rsidRPr="008D2F57">
        <w:rPr>
          <w:rFonts w:eastAsia="TimesNewRoman" w:cs="Times New Roman"/>
          <w:b/>
          <w:sz w:val="28"/>
          <w:szCs w:val="28"/>
          <w:lang w:val="ru-RU"/>
        </w:rPr>
        <w:t>Динамика показателя концентрации сперматозоидов (млн/мл) при оценке результатов спермограммы в группах больных к окончанию лечения.</w:t>
      </w:r>
    </w:p>
    <w:p w:rsidR="001A22DD" w:rsidRDefault="001A22DD" w:rsidP="008D2F57">
      <w:pPr>
        <w:pStyle w:val="Standard"/>
        <w:jc w:val="both"/>
        <w:rPr>
          <w:rFonts w:eastAsia="TimesNewRoman" w:cs="Times New Roman"/>
          <w:b/>
          <w:sz w:val="28"/>
          <w:szCs w:val="28"/>
          <w:lang w:val="ru-RU"/>
        </w:rPr>
      </w:pPr>
      <w:r w:rsidRPr="001A22DD">
        <w:rPr>
          <w:rFonts w:eastAsia="TimesNewRoman" w:cs="Times New Roman"/>
          <w:b/>
          <w:sz w:val="28"/>
          <w:szCs w:val="28"/>
          <w:lang w:val="ru-RU"/>
        </w:rPr>
        <w:t>Примечание: См. примечание к рисунку 1.</w:t>
      </w:r>
    </w:p>
    <w:p w:rsidR="00FA03B6" w:rsidRPr="008D2F57" w:rsidRDefault="00FA03B6" w:rsidP="008D2F57">
      <w:pPr>
        <w:pStyle w:val="Standard"/>
        <w:jc w:val="both"/>
        <w:rPr>
          <w:rFonts w:eastAsia="TimesNewRoman" w:cs="Times New Roman"/>
          <w:sz w:val="28"/>
          <w:szCs w:val="28"/>
          <w:lang w:val="en-US"/>
        </w:rPr>
      </w:pPr>
      <w:r w:rsidRPr="008D2F57">
        <w:rPr>
          <w:rFonts w:eastAsia="TimesNewRoman" w:cs="Times New Roman"/>
          <w:sz w:val="28"/>
          <w:szCs w:val="28"/>
          <w:lang w:val="en-US"/>
        </w:rPr>
        <w:t>Figure</w:t>
      </w:r>
      <w:r w:rsidRPr="001A22DD">
        <w:rPr>
          <w:rFonts w:eastAsia="TimesNewRoman" w:cs="Times New Roman"/>
          <w:sz w:val="28"/>
          <w:szCs w:val="28"/>
          <w:lang w:val="ru-RU"/>
        </w:rPr>
        <w:t xml:space="preserve"> 2. </w:t>
      </w:r>
      <w:r w:rsidRPr="008D2F57">
        <w:rPr>
          <w:rFonts w:eastAsia="TimesNewRoman" w:cs="Times New Roman"/>
          <w:sz w:val="28"/>
          <w:szCs w:val="28"/>
          <w:lang w:val="en-US"/>
        </w:rPr>
        <w:t xml:space="preserve">Dynamics of the indicator of sperm concentration (million /ml) when evaluating the results of a spermogram in groups of patients at the end of treatment. </w:t>
      </w:r>
    </w:p>
    <w:p w:rsidR="001A22DD" w:rsidRDefault="001A22DD" w:rsidP="008D2F57">
      <w:pPr>
        <w:pStyle w:val="Standard"/>
        <w:jc w:val="both"/>
        <w:rPr>
          <w:rFonts w:eastAsia="TimesNewRoman" w:cs="Times New Roman"/>
          <w:sz w:val="28"/>
          <w:szCs w:val="28"/>
          <w:lang w:val="en-US"/>
        </w:rPr>
      </w:pPr>
      <w:r w:rsidRPr="001A22DD">
        <w:rPr>
          <w:rFonts w:eastAsia="TimesNewRoman" w:cs="Times New Roman"/>
          <w:sz w:val="28"/>
          <w:szCs w:val="28"/>
          <w:lang w:val="en-US"/>
        </w:rPr>
        <w:t>Note: See note to Figure 1.</w:t>
      </w:r>
    </w:p>
    <w:p w:rsidR="00113F8B" w:rsidRPr="008D2F57" w:rsidRDefault="00FA03B6" w:rsidP="008D2F57">
      <w:pPr>
        <w:pStyle w:val="Standard"/>
        <w:jc w:val="both"/>
        <w:rPr>
          <w:rFonts w:eastAsia="TimesNewRoman" w:cs="Times New Roman"/>
          <w:b/>
          <w:sz w:val="28"/>
          <w:szCs w:val="28"/>
          <w:lang w:val="ru-RU"/>
        </w:rPr>
      </w:pPr>
      <w:r w:rsidRPr="008D2F57">
        <w:rPr>
          <w:rFonts w:eastAsia="TimesNewRoman" w:cs="Times New Roman"/>
          <w:b/>
          <w:bCs/>
          <w:sz w:val="28"/>
          <w:szCs w:val="28"/>
          <w:lang w:val="ru-RU"/>
        </w:rPr>
        <w:t>Рисунок</w:t>
      </w:r>
      <w:r w:rsidR="00113F8B" w:rsidRPr="008D2F57">
        <w:rPr>
          <w:rFonts w:eastAsia="TimesNewRoman" w:cs="Times New Roman"/>
          <w:b/>
          <w:bCs/>
          <w:sz w:val="28"/>
          <w:szCs w:val="28"/>
          <w:lang w:val="ru-RU"/>
        </w:rPr>
        <w:t xml:space="preserve"> 3. </w:t>
      </w:r>
      <w:r w:rsidR="00113F8B" w:rsidRPr="008D2F57">
        <w:rPr>
          <w:rFonts w:eastAsia="TimesNewRoman" w:cs="Times New Roman"/>
          <w:b/>
          <w:sz w:val="28"/>
          <w:szCs w:val="28"/>
          <w:lang w:val="ru-RU"/>
        </w:rPr>
        <w:t>Динамика показателя общего количества сперматозоидов (млн) при оценке результатов спермограммы в группах больных к окончанию лечения.</w:t>
      </w:r>
    </w:p>
    <w:p w:rsidR="001A22DD" w:rsidRDefault="001A22DD" w:rsidP="008D2F57">
      <w:pPr>
        <w:pStyle w:val="Standard"/>
        <w:jc w:val="both"/>
        <w:rPr>
          <w:rFonts w:eastAsia="TimesNewRoman" w:cs="Times New Roman"/>
          <w:b/>
          <w:sz w:val="28"/>
          <w:szCs w:val="28"/>
          <w:lang w:val="ru-RU"/>
        </w:rPr>
      </w:pPr>
      <w:r w:rsidRPr="001A22DD">
        <w:rPr>
          <w:rFonts w:eastAsia="TimesNewRoman" w:cs="Times New Roman"/>
          <w:b/>
          <w:sz w:val="28"/>
          <w:szCs w:val="28"/>
          <w:lang w:val="ru-RU"/>
        </w:rPr>
        <w:t>Примечание: См. примечание к рисунку 1.</w:t>
      </w:r>
    </w:p>
    <w:p w:rsidR="00FA03B6" w:rsidRPr="008D2F57" w:rsidRDefault="00FA03B6" w:rsidP="008D2F57">
      <w:pPr>
        <w:pStyle w:val="Standard"/>
        <w:jc w:val="both"/>
        <w:rPr>
          <w:rFonts w:eastAsia="TimesNewRoman" w:cs="Times New Roman"/>
          <w:sz w:val="28"/>
          <w:szCs w:val="28"/>
          <w:lang w:val="en-US"/>
        </w:rPr>
      </w:pPr>
      <w:r w:rsidRPr="008D2F57">
        <w:rPr>
          <w:rFonts w:eastAsia="TimesNewRoman" w:cs="Times New Roman"/>
          <w:sz w:val="28"/>
          <w:szCs w:val="28"/>
          <w:lang w:val="en-US"/>
        </w:rPr>
        <w:t>Figure</w:t>
      </w:r>
      <w:r w:rsidRPr="001A22DD">
        <w:rPr>
          <w:rFonts w:eastAsia="TimesNewRoman" w:cs="Times New Roman"/>
          <w:sz w:val="28"/>
          <w:szCs w:val="28"/>
          <w:lang w:val="ru-RU"/>
        </w:rPr>
        <w:t xml:space="preserve"> 3. </w:t>
      </w:r>
      <w:r w:rsidRPr="008D2F57">
        <w:rPr>
          <w:rFonts w:eastAsia="TimesNewRoman" w:cs="Times New Roman"/>
          <w:sz w:val="28"/>
          <w:szCs w:val="28"/>
          <w:lang w:val="en-US"/>
        </w:rPr>
        <w:t xml:space="preserve">Dynamics of the indicator of the total number of spermatozoa (million) when evaluating the results of a spermogram in groups of patients at the end of treatment. </w:t>
      </w:r>
    </w:p>
    <w:p w:rsidR="00FA03B6" w:rsidRPr="008D2F57" w:rsidRDefault="001A22DD" w:rsidP="008D2F57">
      <w:pPr>
        <w:pStyle w:val="Standard"/>
        <w:jc w:val="both"/>
        <w:rPr>
          <w:rFonts w:eastAsia="TimesNewRoman" w:cs="Times New Roman"/>
          <w:sz w:val="28"/>
          <w:szCs w:val="28"/>
          <w:lang w:val="en-US"/>
        </w:rPr>
      </w:pPr>
      <w:r w:rsidRPr="001A22DD">
        <w:rPr>
          <w:rFonts w:eastAsia="TimesNewRoman" w:cs="Times New Roman"/>
          <w:sz w:val="28"/>
          <w:szCs w:val="28"/>
          <w:lang w:val="en-US"/>
        </w:rPr>
        <w:t>Note: See note to Figure 1.</w:t>
      </w:r>
    </w:p>
    <w:p w:rsidR="00113F8B" w:rsidRPr="008D2F57" w:rsidRDefault="00113F8B" w:rsidP="008D2F57">
      <w:pPr>
        <w:pStyle w:val="Standard"/>
        <w:jc w:val="both"/>
        <w:rPr>
          <w:rFonts w:eastAsia="TimesNewRoman" w:cs="Times New Roman"/>
          <w:b/>
          <w:sz w:val="28"/>
          <w:szCs w:val="28"/>
          <w:lang w:val="ru-RU"/>
        </w:rPr>
      </w:pPr>
      <w:r w:rsidRPr="008D2F57">
        <w:rPr>
          <w:rFonts w:eastAsia="TimesNewRoman" w:cs="Times New Roman"/>
          <w:b/>
          <w:bCs/>
          <w:sz w:val="28"/>
          <w:szCs w:val="28"/>
          <w:lang w:val="ru-RU"/>
        </w:rPr>
        <w:t xml:space="preserve">Рисунок 4. </w:t>
      </w:r>
      <w:r w:rsidRPr="008D2F57">
        <w:rPr>
          <w:rFonts w:eastAsia="TimesNewRoman" w:cs="Times New Roman"/>
          <w:b/>
          <w:sz w:val="28"/>
          <w:szCs w:val="28"/>
          <w:lang w:val="ru-RU"/>
        </w:rPr>
        <w:t>Динамика показателя количества лейкоцитов (млн/мл) при оценке результатов спермограммы в группах больных к окончанию лечения.</w:t>
      </w:r>
    </w:p>
    <w:p w:rsidR="001A22DD" w:rsidRDefault="001A22DD" w:rsidP="008D2F57">
      <w:pPr>
        <w:pStyle w:val="Standard"/>
        <w:jc w:val="both"/>
        <w:rPr>
          <w:rFonts w:eastAsia="TimesNewRoman" w:cs="Times New Roman"/>
          <w:b/>
          <w:sz w:val="28"/>
          <w:szCs w:val="28"/>
          <w:lang w:val="ru-RU"/>
        </w:rPr>
      </w:pPr>
      <w:r w:rsidRPr="001A22DD">
        <w:rPr>
          <w:rFonts w:eastAsia="TimesNewRoman" w:cs="Times New Roman"/>
          <w:b/>
          <w:sz w:val="28"/>
          <w:szCs w:val="28"/>
          <w:lang w:val="ru-RU"/>
        </w:rPr>
        <w:t>Примечание: См. примечание к рисунку 1.</w:t>
      </w:r>
    </w:p>
    <w:p w:rsidR="00FA03B6" w:rsidRPr="008D2F57" w:rsidRDefault="00FA03B6" w:rsidP="008D2F57">
      <w:pPr>
        <w:pStyle w:val="Standard"/>
        <w:jc w:val="both"/>
        <w:rPr>
          <w:rFonts w:eastAsia="TimesNewRoman" w:cs="Times New Roman"/>
          <w:sz w:val="28"/>
          <w:szCs w:val="28"/>
        </w:rPr>
      </w:pPr>
      <w:r w:rsidRPr="008D2F57">
        <w:rPr>
          <w:rFonts w:eastAsia="TimesNewRoman" w:cs="Times New Roman"/>
          <w:sz w:val="28"/>
          <w:szCs w:val="28"/>
        </w:rPr>
        <w:t xml:space="preserve">Figure 4. Dynamics of the indicator of the number of leukocytes (million /ml) when evaluating the results of a spermogram in groups of patients at the end of treatment. </w:t>
      </w:r>
    </w:p>
    <w:p w:rsidR="00D65830" w:rsidRDefault="001A22DD" w:rsidP="008D2F57">
      <w:pPr>
        <w:pStyle w:val="Standard"/>
        <w:jc w:val="both"/>
        <w:rPr>
          <w:rFonts w:eastAsia="TimesNewRoman" w:cs="Times New Roman"/>
          <w:sz w:val="28"/>
          <w:szCs w:val="28"/>
        </w:rPr>
      </w:pPr>
      <w:r w:rsidRPr="001A22DD">
        <w:rPr>
          <w:rFonts w:eastAsia="TimesNewRoman" w:cs="Times New Roman"/>
          <w:sz w:val="28"/>
          <w:szCs w:val="28"/>
        </w:rPr>
        <w:t>Note: See note to</w:t>
      </w:r>
      <w:bookmarkStart w:id="0" w:name="_GoBack"/>
      <w:bookmarkEnd w:id="0"/>
      <w:r w:rsidRPr="001A22DD">
        <w:rPr>
          <w:rFonts w:eastAsia="TimesNewRoman" w:cs="Times New Roman"/>
          <w:sz w:val="28"/>
          <w:szCs w:val="28"/>
        </w:rPr>
        <w:t xml:space="preserve"> Figure 1.</w:t>
      </w:r>
      <w:r w:rsidR="00FA03B6" w:rsidRPr="008D2F57">
        <w:rPr>
          <w:rFonts w:eastAsia="TimesNewRoman" w:cs="Times New Roman"/>
          <w:sz w:val="28"/>
          <w:szCs w:val="28"/>
        </w:rPr>
        <w:t xml:space="preserve"> </w:t>
      </w:r>
    </w:p>
    <w:p w:rsidR="00267B00" w:rsidRPr="008D2F57" w:rsidRDefault="00FA03B6" w:rsidP="008D2F57">
      <w:pPr>
        <w:pStyle w:val="Standard"/>
        <w:jc w:val="both"/>
        <w:rPr>
          <w:rFonts w:eastAsia="TimesNewRoman" w:cs="Times New Roman"/>
          <w:b/>
          <w:sz w:val="28"/>
          <w:szCs w:val="28"/>
          <w:lang w:val="ru-RU"/>
        </w:rPr>
      </w:pPr>
      <w:r w:rsidRPr="008D2F57">
        <w:rPr>
          <w:rFonts w:eastAsia="TimesNewRoman" w:cs="Times New Roman"/>
          <w:b/>
          <w:bCs/>
          <w:sz w:val="28"/>
          <w:szCs w:val="28"/>
          <w:lang w:val="ru-RU"/>
        </w:rPr>
        <w:t>Рисунок</w:t>
      </w:r>
      <w:r w:rsidR="00267B00" w:rsidRPr="008D2F57">
        <w:rPr>
          <w:rFonts w:eastAsia="TimesNewRoman" w:cs="Times New Roman"/>
          <w:b/>
          <w:bCs/>
          <w:sz w:val="28"/>
          <w:szCs w:val="28"/>
          <w:lang w:val="ru-RU"/>
        </w:rPr>
        <w:t xml:space="preserve"> 5. </w:t>
      </w:r>
      <w:r w:rsidR="00267B00" w:rsidRPr="008D2F57">
        <w:rPr>
          <w:rFonts w:eastAsia="TimesNewRoman" w:cs="Times New Roman"/>
          <w:b/>
          <w:sz w:val="28"/>
          <w:szCs w:val="28"/>
          <w:lang w:val="ru-RU"/>
        </w:rPr>
        <w:t>Динамика показателя аггл</w:t>
      </w:r>
      <w:r w:rsidR="004C16B8" w:rsidRPr="008D2F57">
        <w:rPr>
          <w:rFonts w:eastAsia="TimesNewRoman" w:cs="Times New Roman"/>
          <w:b/>
          <w:sz w:val="28"/>
          <w:szCs w:val="28"/>
          <w:lang w:val="ru-RU"/>
        </w:rPr>
        <w:t>ютинации семенной жидкости (условных</w:t>
      </w:r>
      <w:r w:rsidR="00267B00" w:rsidRPr="008D2F57">
        <w:rPr>
          <w:rFonts w:eastAsia="TimesNewRoman" w:cs="Times New Roman"/>
          <w:b/>
          <w:sz w:val="28"/>
          <w:szCs w:val="28"/>
          <w:lang w:val="ru-RU"/>
        </w:rPr>
        <w:t xml:space="preserve"> ед.) при оценке результатов спермограммы в группах больных к окончанию лечения.</w:t>
      </w:r>
    </w:p>
    <w:p w:rsidR="001A22DD" w:rsidRDefault="001A22DD" w:rsidP="008D2F57">
      <w:pPr>
        <w:pStyle w:val="Standard"/>
        <w:jc w:val="both"/>
        <w:rPr>
          <w:rFonts w:eastAsia="TimesNewRoman" w:cs="Times New Roman"/>
          <w:b/>
          <w:sz w:val="28"/>
          <w:szCs w:val="28"/>
          <w:lang w:val="ru-RU"/>
        </w:rPr>
      </w:pPr>
      <w:r w:rsidRPr="001A22DD">
        <w:rPr>
          <w:rFonts w:eastAsia="TimesNewRoman" w:cs="Times New Roman"/>
          <w:b/>
          <w:sz w:val="28"/>
          <w:szCs w:val="28"/>
          <w:lang w:val="ru-RU"/>
        </w:rPr>
        <w:t>Примечание: См. примечание к рисунку 1.</w:t>
      </w:r>
    </w:p>
    <w:p w:rsidR="00FA03B6" w:rsidRPr="008D2F57" w:rsidRDefault="00FA03B6" w:rsidP="008D2F57">
      <w:pPr>
        <w:pStyle w:val="Standard"/>
        <w:jc w:val="both"/>
        <w:rPr>
          <w:rFonts w:eastAsia="TimesNewRoman" w:cs="Times New Roman"/>
          <w:sz w:val="28"/>
          <w:szCs w:val="28"/>
          <w:lang w:val="en-US"/>
        </w:rPr>
      </w:pPr>
      <w:r w:rsidRPr="008D2F57">
        <w:rPr>
          <w:rFonts w:eastAsia="TimesNewRoman" w:cs="Times New Roman"/>
          <w:sz w:val="28"/>
          <w:szCs w:val="28"/>
          <w:lang w:val="en-US"/>
        </w:rPr>
        <w:t>Figure</w:t>
      </w:r>
      <w:r w:rsidRPr="001A22DD">
        <w:rPr>
          <w:rFonts w:eastAsia="TimesNewRoman" w:cs="Times New Roman"/>
          <w:sz w:val="28"/>
          <w:szCs w:val="28"/>
          <w:lang w:val="ru-RU"/>
        </w:rPr>
        <w:t xml:space="preserve"> 5. </w:t>
      </w:r>
      <w:r w:rsidRPr="008D2F57">
        <w:rPr>
          <w:rFonts w:eastAsia="TimesNewRoman" w:cs="Times New Roman"/>
          <w:sz w:val="28"/>
          <w:szCs w:val="28"/>
          <w:lang w:val="en-US"/>
        </w:rPr>
        <w:t xml:space="preserve">Dynamics of seminal fluid agglutination index </w:t>
      </w:r>
      <w:r w:rsidR="004C16B8" w:rsidRPr="008D2F57">
        <w:rPr>
          <w:rFonts w:eastAsia="TimesNewRoman" w:cs="Times New Roman"/>
          <w:sz w:val="28"/>
          <w:szCs w:val="28"/>
          <w:lang w:val="en-US"/>
        </w:rPr>
        <w:t>(conditional units)</w:t>
      </w:r>
      <w:r w:rsidRPr="008D2F57">
        <w:rPr>
          <w:rFonts w:eastAsia="TimesNewRoman" w:cs="Times New Roman"/>
          <w:sz w:val="28"/>
          <w:szCs w:val="28"/>
          <w:lang w:val="en-US"/>
        </w:rPr>
        <w:t xml:space="preserve"> when evaluating spermogram results in groups of patients at the end of treatment. </w:t>
      </w:r>
    </w:p>
    <w:p w:rsidR="00113F8B" w:rsidRPr="008D2F57" w:rsidRDefault="001A22DD" w:rsidP="008D2F57">
      <w:pPr>
        <w:pStyle w:val="Standard"/>
        <w:jc w:val="both"/>
        <w:rPr>
          <w:rFonts w:eastAsia="TimesNewRoman" w:cs="Times New Roman"/>
          <w:sz w:val="28"/>
          <w:szCs w:val="28"/>
          <w:lang w:val="en-US"/>
        </w:rPr>
      </w:pPr>
      <w:r w:rsidRPr="001A22DD">
        <w:rPr>
          <w:rFonts w:eastAsia="TimesNewRoman" w:cs="Times New Roman"/>
          <w:sz w:val="28"/>
          <w:szCs w:val="28"/>
          <w:lang w:val="en-US"/>
        </w:rPr>
        <w:t>Note: See note to Figure 1.</w:t>
      </w:r>
    </w:p>
    <w:p w:rsidR="00113F8B" w:rsidRPr="008D2F57" w:rsidRDefault="00113F8B" w:rsidP="008D2F57">
      <w:pPr>
        <w:pStyle w:val="Standard"/>
        <w:jc w:val="both"/>
        <w:rPr>
          <w:rFonts w:eastAsia="TimesNewRoman" w:cs="Times New Roman"/>
          <w:sz w:val="28"/>
          <w:szCs w:val="28"/>
          <w:lang w:val="en-US"/>
        </w:rPr>
      </w:pPr>
    </w:p>
    <w:p w:rsidR="00113F8B" w:rsidRPr="008D2F57" w:rsidRDefault="00113F8B" w:rsidP="008D2F57">
      <w:pPr>
        <w:spacing w:after="0" w:line="240" w:lineRule="auto"/>
        <w:jc w:val="both"/>
        <w:rPr>
          <w:sz w:val="28"/>
          <w:szCs w:val="28"/>
          <w:lang w:val="en-US"/>
        </w:rPr>
      </w:pPr>
    </w:p>
    <w:sectPr w:rsidR="00113F8B" w:rsidRPr="008D2F57" w:rsidSect="008D2F57">
      <w:foot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F57" w:rsidRDefault="008D2F57" w:rsidP="008D2F57">
      <w:pPr>
        <w:spacing w:after="0" w:line="240" w:lineRule="auto"/>
      </w:pPr>
      <w:r>
        <w:separator/>
      </w:r>
    </w:p>
  </w:endnote>
  <w:endnote w:type="continuationSeparator" w:id="0">
    <w:p w:rsidR="008D2F57" w:rsidRDefault="008D2F57" w:rsidP="008D2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492"/>
      <w:gridCol w:w="374"/>
      <w:gridCol w:w="4488"/>
    </w:tblGrid>
    <w:tr w:rsidR="008D2F57">
      <w:tc>
        <w:tcPr>
          <w:tcW w:w="2401" w:type="pct"/>
        </w:tcPr>
        <w:p w:rsidR="008D2F57" w:rsidRDefault="001A22DD">
          <w:pPr>
            <w:pStyle w:val="a6"/>
            <w:tabs>
              <w:tab w:val="clear" w:pos="4677"/>
              <w:tab w:val="clear" w:pos="9355"/>
            </w:tabs>
            <w:rPr>
              <w:caps/>
              <w:color w:val="5B9BD5" w:themeColor="accent1"/>
              <w:sz w:val="18"/>
              <w:szCs w:val="18"/>
            </w:rPr>
          </w:pPr>
          <w:sdt>
            <w:sdtPr>
              <w:rPr>
                <w:caps/>
                <w:color w:val="5B9BD5" w:themeColor="accent1"/>
                <w:sz w:val="18"/>
                <w:szCs w:val="18"/>
              </w:rPr>
              <w:alias w:val="Название"/>
              <w:tag w:val=""/>
              <w:id w:val="886384654"/>
              <w:placeholder>
                <w:docPart w:val="6FD8AD21556F4C82AC4D00CD5CD26651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8D2F57">
                <w:rPr>
                  <w:caps/>
                  <w:color w:val="5B9BD5" w:themeColor="accent1"/>
                  <w:sz w:val="18"/>
                  <w:szCs w:val="18"/>
                </w:rPr>
                <w:t>[Название документа]</w:t>
              </w:r>
            </w:sdtContent>
          </w:sdt>
        </w:p>
      </w:tc>
      <w:tc>
        <w:tcPr>
          <w:tcW w:w="200" w:type="pct"/>
        </w:tcPr>
        <w:p w:rsidR="008D2F57" w:rsidRDefault="008D2F57">
          <w:pPr>
            <w:pStyle w:val="a6"/>
            <w:tabs>
              <w:tab w:val="clear" w:pos="4677"/>
              <w:tab w:val="clear" w:pos="9355"/>
            </w:tabs>
            <w:rPr>
              <w:caps/>
              <w:color w:val="5B9BD5" w:themeColor="accent1"/>
              <w:sz w:val="18"/>
              <w:szCs w:val="18"/>
            </w:rPr>
          </w:pPr>
        </w:p>
      </w:tc>
      <w:tc>
        <w:tcPr>
          <w:tcW w:w="2402" w:type="pct"/>
        </w:tcPr>
        <w:sdt>
          <w:sdtPr>
            <w:rPr>
              <w:caps/>
              <w:color w:val="5B9BD5" w:themeColor="accent1"/>
              <w:sz w:val="18"/>
              <w:szCs w:val="18"/>
            </w:rPr>
            <w:alias w:val="Автор"/>
            <w:tag w:val=""/>
            <w:id w:val="1205441952"/>
            <w:placeholder>
              <w:docPart w:val="4C538791431E49969B5A01A7656B6C71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8D2F57" w:rsidRDefault="008D2F57">
              <w:pPr>
                <w:pStyle w:val="a6"/>
                <w:tabs>
                  <w:tab w:val="clear" w:pos="4677"/>
                  <w:tab w:val="clear" w:pos="9355"/>
                </w:tabs>
                <w:jc w:val="right"/>
                <w:rPr>
                  <w:caps/>
                  <w:color w:val="5B9BD5" w:themeColor="accent1"/>
                  <w:sz w:val="18"/>
                  <w:szCs w:val="18"/>
                </w:rPr>
              </w:pPr>
              <w:r>
                <w:rPr>
                  <w:caps/>
                  <w:color w:val="5B9BD5" w:themeColor="accent1"/>
                  <w:sz w:val="18"/>
                  <w:szCs w:val="18"/>
                </w:rPr>
                <w:t>АВ</w:t>
              </w:r>
            </w:p>
          </w:sdtContent>
        </w:sdt>
      </w:tc>
    </w:tr>
  </w:tbl>
  <w:p w:rsidR="008D2F57" w:rsidRDefault="008D2F5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F57" w:rsidRDefault="008D2F57" w:rsidP="008D2F57">
      <w:pPr>
        <w:spacing w:after="0" w:line="240" w:lineRule="auto"/>
      </w:pPr>
      <w:r>
        <w:separator/>
      </w:r>
    </w:p>
  </w:footnote>
  <w:footnote w:type="continuationSeparator" w:id="0">
    <w:p w:rsidR="008D2F57" w:rsidRDefault="008D2F57" w:rsidP="008D2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92C6F"/>
    <w:multiLevelType w:val="multilevel"/>
    <w:tmpl w:val="A4E21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8B"/>
    <w:rsid w:val="000D1472"/>
    <w:rsid w:val="00113F8B"/>
    <w:rsid w:val="001A22DD"/>
    <w:rsid w:val="00267B00"/>
    <w:rsid w:val="004C16B8"/>
    <w:rsid w:val="004E0995"/>
    <w:rsid w:val="008B47F1"/>
    <w:rsid w:val="008D2F57"/>
    <w:rsid w:val="00D65830"/>
    <w:rsid w:val="00FA03B6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E3D5"/>
  <w15:chartTrackingRefBased/>
  <w15:docId w15:val="{243E7B4C-04A0-41A2-8915-8F520BC0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13F8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styleId="a3">
    <w:name w:val="Hyperlink"/>
    <w:basedOn w:val="a0"/>
    <w:uiPriority w:val="99"/>
    <w:unhideWhenUsed/>
    <w:rsid w:val="00FA03B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D2F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2F57"/>
  </w:style>
  <w:style w:type="paragraph" w:styleId="a6">
    <w:name w:val="footer"/>
    <w:basedOn w:val="a"/>
    <w:link w:val="a7"/>
    <w:uiPriority w:val="99"/>
    <w:unhideWhenUsed/>
    <w:rsid w:val="008D2F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2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1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0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03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722789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28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053245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1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525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5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9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4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7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15292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161451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54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4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82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FD8AD21556F4C82AC4D00CD5CD266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F55667-1945-426E-8B7F-A4C03EAD1174}"/>
      </w:docPartPr>
      <w:docPartBody>
        <w:p w:rsidR="00C81093" w:rsidRDefault="00821096" w:rsidP="00821096">
          <w:pPr>
            <w:pStyle w:val="6FD8AD21556F4C82AC4D00CD5CD26651"/>
          </w:pPr>
          <w:r>
            <w:rPr>
              <w:caps/>
              <w:color w:val="5B9BD5" w:themeColor="accent1"/>
              <w:sz w:val="18"/>
              <w:szCs w:val="18"/>
            </w:rPr>
            <w:t>[Название документа]</w:t>
          </w:r>
        </w:p>
      </w:docPartBody>
    </w:docPart>
    <w:docPart>
      <w:docPartPr>
        <w:name w:val="4C538791431E49969B5A01A7656B6C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DCEEDE-CB87-4CA8-BB76-1F14AEDC1080}"/>
      </w:docPartPr>
      <w:docPartBody>
        <w:p w:rsidR="00C81093" w:rsidRDefault="00821096" w:rsidP="00821096">
          <w:pPr>
            <w:pStyle w:val="4C538791431E49969B5A01A7656B6C71"/>
          </w:pPr>
          <w:r>
            <w:rPr>
              <w:caps/>
              <w:color w:val="5B9BD5" w:themeColor="accent1"/>
              <w:sz w:val="18"/>
              <w:szCs w:val="18"/>
            </w:rPr>
            <w:t>[Имя автора]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096"/>
    <w:rsid w:val="00821096"/>
    <w:rsid w:val="00C8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FD8AD21556F4C82AC4D00CD5CD26651">
    <w:name w:val="6FD8AD21556F4C82AC4D00CD5CD26651"/>
    <w:rsid w:val="00821096"/>
  </w:style>
  <w:style w:type="paragraph" w:customStyle="1" w:styleId="4C538791431E49969B5A01A7656B6C71">
    <w:name w:val="4C538791431E49969B5A01A7656B6C71"/>
    <w:rsid w:val="008210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</dc:creator>
  <cp:keywords/>
  <dc:description/>
  <cp:lastModifiedBy>Владимир И. Подкатов</cp:lastModifiedBy>
  <cp:revision>5</cp:revision>
  <dcterms:created xsi:type="dcterms:W3CDTF">2024-10-21T09:47:00Z</dcterms:created>
  <dcterms:modified xsi:type="dcterms:W3CDTF">2024-10-22T07:15:00Z</dcterms:modified>
</cp:coreProperties>
</file>